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A237" w14:textId="21BF5940" w:rsidR="000900DA" w:rsidRDefault="000900DA" w:rsidP="00141A10">
      <w:pPr>
        <w:pStyle w:val="a3"/>
      </w:pPr>
      <w:r>
        <w:rPr>
          <w:rFonts w:hint="eastAsia"/>
        </w:rPr>
        <w:t>運用・証券・投資銀行業務ガイドライン改定案</w:t>
      </w:r>
    </w:p>
    <w:p w14:paraId="5CCCB4B4" w14:textId="77777777" w:rsidR="000900DA" w:rsidRPr="00C94342" w:rsidRDefault="000900DA" w:rsidP="000900DA">
      <w:pPr>
        <w:rPr>
          <w:rFonts w:asciiTheme="majorEastAsia" w:eastAsiaTheme="majorEastAsia" w:hAnsiTheme="majorEastAsia"/>
        </w:rPr>
      </w:pPr>
      <w:r w:rsidRPr="00C94342">
        <w:rPr>
          <w:rFonts w:asciiTheme="majorEastAsia" w:eastAsiaTheme="majorEastAsia" w:hAnsiTheme="majorEastAsia" w:hint="eastAsia"/>
        </w:rPr>
        <w:t>１．課題認識</w:t>
      </w:r>
    </w:p>
    <w:p w14:paraId="343D51E8" w14:textId="4D5C46A8" w:rsidR="000900DA" w:rsidRDefault="000900DA" w:rsidP="000900DA">
      <w:r>
        <w:rPr>
          <w:rFonts w:hint="eastAsia"/>
        </w:rPr>
        <w:t>運用・証券・投資銀行業界は、金融商品市場の担い手として、資本市場の健全な発展に向けた社会的役割が期待されている。その一環として、企業価値に影響を及ぼしうる環境・社会・企業統治に関する課題（以下</w:t>
      </w:r>
      <w:r>
        <w:t>ESG課題）を適切に考慮することが資本市場の健全な育成・発展等につながるとともに持続可能な社会の形成に寄与するものと考える。</w:t>
      </w:r>
    </w:p>
    <w:p w14:paraId="2F7BF611" w14:textId="77777777" w:rsidR="000900DA" w:rsidRDefault="000900DA" w:rsidP="000900DA"/>
    <w:p w14:paraId="419BBA46" w14:textId="77777777" w:rsidR="000900DA" w:rsidRPr="00C94342" w:rsidRDefault="000900DA" w:rsidP="000900DA">
      <w:pPr>
        <w:rPr>
          <w:rFonts w:asciiTheme="majorEastAsia" w:eastAsiaTheme="majorEastAsia" w:hAnsiTheme="majorEastAsia"/>
        </w:rPr>
      </w:pPr>
      <w:r w:rsidRPr="00C94342">
        <w:rPr>
          <w:rFonts w:asciiTheme="majorEastAsia" w:eastAsiaTheme="majorEastAsia" w:hAnsiTheme="majorEastAsia" w:hint="eastAsia"/>
        </w:rPr>
        <w:t>２．切り口</w:t>
      </w:r>
    </w:p>
    <w:p w14:paraId="0E45EFF1" w14:textId="4BB26AD9" w:rsidR="000900DA" w:rsidRDefault="000900DA" w:rsidP="000900DA">
      <w:r>
        <w:rPr>
          <w:rFonts w:hint="eastAsia"/>
        </w:rPr>
        <w:t>上記の課題認識に基づき、７つの原則に</w:t>
      </w:r>
      <w:r w:rsidR="00BA7C2D">
        <w:rPr>
          <w:rFonts w:hint="eastAsia"/>
        </w:rPr>
        <w:t>即</w:t>
      </w:r>
      <w:r>
        <w:rPr>
          <w:rFonts w:hint="eastAsia"/>
        </w:rPr>
        <w:t>した取組を進める上で</w:t>
      </w:r>
      <w:r w:rsidR="00F33DD5">
        <w:rPr>
          <w:rFonts w:hint="eastAsia"/>
        </w:rPr>
        <w:t>推</w:t>
      </w:r>
      <w:r>
        <w:rPr>
          <w:rFonts w:hint="eastAsia"/>
        </w:rPr>
        <w:t>奨される切り口として、以下のようなものが考えられる。</w:t>
      </w:r>
    </w:p>
    <w:p w14:paraId="2D9E9E5F" w14:textId="77777777" w:rsidR="002B55AA" w:rsidRDefault="002B55AA" w:rsidP="000900DA"/>
    <w:p w14:paraId="2C12A23B" w14:textId="12D465C0" w:rsidR="000900DA" w:rsidRPr="00C94342" w:rsidRDefault="002B55AA" w:rsidP="000900DA">
      <w:pPr>
        <w:rPr>
          <w:rFonts w:asciiTheme="majorEastAsia" w:eastAsiaTheme="majorEastAsia" w:hAnsiTheme="majorEastAsia"/>
        </w:rPr>
      </w:pPr>
      <w:r w:rsidRPr="00C94342">
        <w:rPr>
          <w:rFonts w:asciiTheme="majorEastAsia" w:eastAsiaTheme="majorEastAsia" w:hAnsiTheme="majorEastAsia"/>
        </w:rPr>
        <w:t>(1)</w:t>
      </w:r>
      <w:r w:rsidRPr="00C94342" w:rsidDel="002B55AA">
        <w:rPr>
          <w:rFonts w:asciiTheme="majorEastAsia" w:eastAsiaTheme="majorEastAsia" w:hAnsiTheme="majorEastAsia"/>
        </w:rPr>
        <w:t xml:space="preserve"> </w:t>
      </w:r>
      <w:r w:rsidR="000900DA" w:rsidRPr="00C94342">
        <w:rPr>
          <w:rFonts w:asciiTheme="majorEastAsia" w:eastAsiaTheme="majorEastAsia" w:hAnsiTheme="majorEastAsia"/>
        </w:rPr>
        <w:t>金融機能全般への期待の認識とこれに基づく業態別の対応の検討</w:t>
      </w:r>
      <w:r w:rsidR="00A44B02" w:rsidRPr="00C94342">
        <w:rPr>
          <w:rFonts w:asciiTheme="majorEastAsia" w:eastAsiaTheme="majorEastAsia" w:hAnsiTheme="majorEastAsia"/>
        </w:rPr>
        <w:t>・実践</w:t>
      </w:r>
      <w:r w:rsidR="000900DA" w:rsidRPr="00C94342">
        <w:rPr>
          <w:rFonts w:asciiTheme="majorEastAsia" w:eastAsiaTheme="majorEastAsia" w:hAnsiTheme="majorEastAsia"/>
        </w:rPr>
        <w:t>【原則１】</w:t>
      </w:r>
    </w:p>
    <w:p w14:paraId="61E67551" w14:textId="795028A6" w:rsidR="000900DA" w:rsidRDefault="000900DA" w:rsidP="000900DA">
      <w:r>
        <w:rPr>
          <w:rFonts w:hint="eastAsia"/>
        </w:rPr>
        <w:t>署名機関は、持続可能な社会の実現に向けて金融機能に期待される役割の全体像を理解し、その基盤の上に各業態に則した取組を構築し、主体的に実践することが期待される。自らが担うべきポジティブインパクトの創出やネガティブインパクトの緩和の何たるかは、この</w:t>
      </w:r>
      <w:r w:rsidR="00A44B02">
        <w:rPr>
          <w:rFonts w:hint="eastAsia"/>
        </w:rPr>
        <w:t>理解</w:t>
      </w:r>
      <w:r>
        <w:rPr>
          <w:rFonts w:hint="eastAsia"/>
        </w:rPr>
        <w:t>と実践を通じて追求される課題である。</w:t>
      </w:r>
    </w:p>
    <w:p w14:paraId="612F93FE" w14:textId="77777777" w:rsidR="000900DA" w:rsidRDefault="000900DA" w:rsidP="000900DA"/>
    <w:p w14:paraId="794D62DE" w14:textId="13346776" w:rsidR="000900DA" w:rsidRPr="00C94342" w:rsidRDefault="002B55AA" w:rsidP="000900DA">
      <w:pPr>
        <w:rPr>
          <w:rFonts w:asciiTheme="majorEastAsia" w:eastAsiaTheme="majorEastAsia" w:hAnsiTheme="majorEastAsia"/>
        </w:rPr>
      </w:pPr>
      <w:r w:rsidRPr="00C94342">
        <w:rPr>
          <w:rFonts w:asciiTheme="majorEastAsia" w:eastAsiaTheme="majorEastAsia" w:hAnsiTheme="majorEastAsia"/>
        </w:rPr>
        <w:t>(2)</w:t>
      </w:r>
      <w:r w:rsidR="000900DA" w:rsidRPr="00C94342">
        <w:rPr>
          <w:rFonts w:asciiTheme="majorEastAsia" w:eastAsiaTheme="majorEastAsia" w:hAnsiTheme="majorEastAsia"/>
        </w:rPr>
        <w:t>本業の商品・サービスを通じた持続可能性の追求【原則2】【原則3】</w:t>
      </w:r>
    </w:p>
    <w:p w14:paraId="28D6D88F" w14:textId="77777777" w:rsidR="000900DA" w:rsidRDefault="000900DA" w:rsidP="000900DA">
      <w:r>
        <w:rPr>
          <w:rFonts w:hint="eastAsia"/>
        </w:rPr>
        <w:t>＜運用業務＞</w:t>
      </w:r>
    </w:p>
    <w:p w14:paraId="7C1DCB3F" w14:textId="3825AD64" w:rsidR="00205EDD" w:rsidRDefault="000900DA" w:rsidP="000900DA">
      <w:r>
        <w:rPr>
          <w:rFonts w:hint="eastAsia"/>
        </w:rPr>
        <w:t>銀行・保険・資産運用会社等は、長期的視点に立ち、受益者の利益を追求することを目的としている。例えば、投資判断を行う際、</w:t>
      </w:r>
      <w:r>
        <w:t>ESG課題を投資判断要素として考慮し、投資対象企業に対して積極的に働きかけを行うことを通じて、投資対象企業のESG課題への意識を高め、取組を進展させることができる。また、</w:t>
      </w:r>
      <w:r w:rsidR="00271024">
        <w:rPr>
          <w:rFonts w:hint="eastAsia"/>
        </w:rPr>
        <w:t>銀行・保険・資産運用会社等は、</w:t>
      </w:r>
      <w:r>
        <w:t>投資対象となりうる全ての企業に対して、必要に応じて適切なESG</w:t>
      </w:r>
      <w:r w:rsidR="002C2FFD">
        <w:rPr>
          <w:rFonts w:hint="eastAsia"/>
        </w:rPr>
        <w:t>に関する</w:t>
      </w:r>
      <w:r>
        <w:t>情報の開示を求める。これらを達成するために、銀行・保険・資産運用会社等は関連するステークホルダーと</w:t>
      </w:r>
      <w:r w:rsidR="001377C1">
        <w:rPr>
          <w:rFonts w:hint="eastAsia"/>
        </w:rPr>
        <w:t>とも</w:t>
      </w:r>
      <w:r>
        <w:t>に、ESG</w:t>
      </w:r>
      <w:r w:rsidR="00C560A7">
        <w:rPr>
          <w:rFonts w:hint="eastAsia"/>
        </w:rPr>
        <w:t>に関する</w:t>
      </w:r>
      <w:r>
        <w:t>情報の分析・活用手法の高度</w:t>
      </w:r>
      <w:r>
        <w:rPr>
          <w:rFonts w:hint="eastAsia"/>
        </w:rPr>
        <w:t>化、レベルアップを</w:t>
      </w:r>
      <w:r w:rsidR="003C0CCB">
        <w:rPr>
          <w:rFonts w:hint="eastAsia"/>
        </w:rPr>
        <w:t>図る</w:t>
      </w:r>
      <w:r>
        <w:rPr>
          <w:rFonts w:hint="eastAsia"/>
        </w:rPr>
        <w:t>。</w:t>
      </w:r>
    </w:p>
    <w:p w14:paraId="3066643A" w14:textId="77777777" w:rsidR="00205EDD" w:rsidRDefault="00205EDD" w:rsidP="000900DA"/>
    <w:p w14:paraId="553EADCE" w14:textId="61A2F5D9" w:rsidR="000900DA" w:rsidRDefault="000900DA" w:rsidP="000900DA">
      <w:r>
        <w:rPr>
          <w:rFonts w:hint="eastAsia"/>
        </w:rPr>
        <w:t>また、資産運用会社等は、最終投資家保護の観点から、投資家に対し運用商品提供を行うにあたって適切な情報を提供し、適切な判断が行われるよう促す責任を有している。この観点から、法令・諸規則等に従いつつ、</w:t>
      </w:r>
      <w:r w:rsidR="005D54E8">
        <w:t>持続可能な社会の形成に寄与していく</w:t>
      </w:r>
      <w:r w:rsidR="005D54E8">
        <w:rPr>
          <w:rFonts w:hint="eastAsia"/>
        </w:rPr>
        <w:t>ため、</w:t>
      </w:r>
      <w:r>
        <w:rPr>
          <w:rFonts w:hint="eastAsia"/>
        </w:rPr>
        <w:t>金融商品・有価証券等の投資判断に必要と考えられる</w:t>
      </w:r>
      <w:r>
        <w:t>ESGに関する情報を、投資家等へ伝え</w:t>
      </w:r>
      <w:r w:rsidR="007171BC">
        <w:rPr>
          <w:rFonts w:hint="eastAsia"/>
        </w:rPr>
        <w:t>る</w:t>
      </w:r>
      <w:r>
        <w:t>。</w:t>
      </w:r>
    </w:p>
    <w:p w14:paraId="609E9917" w14:textId="77777777" w:rsidR="000900DA" w:rsidRDefault="000900DA" w:rsidP="000900DA"/>
    <w:p w14:paraId="3F63FEB7" w14:textId="43BE5FF9" w:rsidR="000900DA" w:rsidRDefault="000900DA" w:rsidP="000900DA">
      <w:r>
        <w:rPr>
          <w:rFonts w:hint="eastAsia"/>
        </w:rPr>
        <w:t>＜証券／投資銀行業務＞</w:t>
      </w:r>
    </w:p>
    <w:p w14:paraId="7A2F99E1" w14:textId="095D4E7D" w:rsidR="000900DA" w:rsidRDefault="000900DA" w:rsidP="000900DA">
      <w:r>
        <w:rPr>
          <w:rFonts w:hint="eastAsia"/>
        </w:rPr>
        <w:t>証券会社は、証券業務において、投資家保護の観点から、投資家に対し金融商品販売を行うにあたって適切な情報を提供し、適切な判断が行われるよう促す責任を有している。この観点から、法令・諸規則等に従いつつ、</w:t>
      </w:r>
      <w:r w:rsidR="007171BC">
        <w:t>持続可能な社会の形成に寄与していく</w:t>
      </w:r>
      <w:r w:rsidR="007171BC">
        <w:rPr>
          <w:rFonts w:hint="eastAsia"/>
        </w:rPr>
        <w:t>ため、</w:t>
      </w:r>
      <w:r>
        <w:rPr>
          <w:rFonts w:hint="eastAsia"/>
        </w:rPr>
        <w:t>金融商品・有価証券等の投資判断に必要と考えられる</w:t>
      </w:r>
      <w:r>
        <w:t>ESGに関する情報を、投資家等へ伝える。例えば、情報提供に際しては、多様化している投資家のニーズや金融リテラシーの水準を踏まえたうえで、ESGに関する情報を提供もしくは説明することが期</w:t>
      </w:r>
      <w:r>
        <w:lastRenderedPageBreak/>
        <w:t>待される。</w:t>
      </w:r>
    </w:p>
    <w:p w14:paraId="0F2F400E" w14:textId="77777777" w:rsidR="000900DA" w:rsidRDefault="000900DA" w:rsidP="000900DA"/>
    <w:p w14:paraId="22B9218B" w14:textId="25A44CC2" w:rsidR="000900DA" w:rsidRDefault="000900DA" w:rsidP="000900DA">
      <w:r>
        <w:rPr>
          <w:rFonts w:hint="eastAsia"/>
        </w:rPr>
        <w:t>投資銀行は、引受け・証券化商品の組成等の投資銀行業務において、適切な金融商品を資本市場に提供するゲートキーパーとしての役割が期待されている。また</w:t>
      </w:r>
      <w:r>
        <w:t>M&amp;Aアドバイザリー業務等いわゆるエージェントビジネス（代理人業務）では、顧客企業の依頼に基づいて業務運営を行う必要がある。こうした業務を行ううえでは、法令・諸規則等に従いつつ、</w:t>
      </w:r>
      <w:r w:rsidR="007171BC">
        <w:t>持続可能な社会の形成に寄与していく</w:t>
      </w:r>
      <w:r w:rsidR="007171BC">
        <w:rPr>
          <w:rFonts w:hint="eastAsia"/>
        </w:rPr>
        <w:t>ため、</w:t>
      </w:r>
      <w:r>
        <w:t>対象となる取引における必要性や重要性等に応じて ESGに関する情報を収集、分析し、業務へ反映していく。</w:t>
      </w:r>
    </w:p>
    <w:p w14:paraId="33489DC6" w14:textId="77777777" w:rsidR="000900DA" w:rsidRDefault="000900DA" w:rsidP="000900DA"/>
    <w:p w14:paraId="03D98B53" w14:textId="77777777" w:rsidR="000900DA" w:rsidRPr="00C94342" w:rsidRDefault="000900DA" w:rsidP="000900DA">
      <w:pPr>
        <w:rPr>
          <w:rFonts w:asciiTheme="majorEastAsia" w:eastAsiaTheme="majorEastAsia" w:hAnsiTheme="majorEastAsia"/>
        </w:rPr>
      </w:pPr>
      <w:r w:rsidRPr="00C94342">
        <w:rPr>
          <w:rFonts w:asciiTheme="majorEastAsia" w:eastAsiaTheme="majorEastAsia" w:hAnsiTheme="majorEastAsia"/>
        </w:rPr>
        <w:t>(3)全ての基盤となる人的資本の充実【原則４】</w:t>
      </w:r>
    </w:p>
    <w:p w14:paraId="4BC2B330" w14:textId="77777777" w:rsidR="000900DA" w:rsidRDefault="000900DA" w:rsidP="000900DA">
      <w:r>
        <w:rPr>
          <w:rFonts w:hint="eastAsia"/>
        </w:rPr>
        <w:t>＜運用業務＞</w:t>
      </w:r>
    </w:p>
    <w:p w14:paraId="319F841F" w14:textId="0485DD56" w:rsidR="000900DA" w:rsidRDefault="000900DA" w:rsidP="000900DA">
      <w:r>
        <w:rPr>
          <w:rFonts w:hint="eastAsia"/>
        </w:rPr>
        <w:t>銀行・保険・資産運用会社等は、投資先企業の持続的成長に資するよう、投資先企業やその事業環境等に関する深い理解のほか運用戦略に応じたサステナビリティの考慮に基づき、当該企業との対話やスチュワードシップ活動に伴う判断を適切に行うための実力を備えるべく研鑽を積む</w:t>
      </w:r>
    </w:p>
    <w:p w14:paraId="4F9C6D8E" w14:textId="1E88D66E" w:rsidR="000900DA" w:rsidRDefault="000900DA" w:rsidP="000900DA">
      <w:r>
        <w:rPr>
          <w:rFonts w:hint="eastAsia"/>
        </w:rPr>
        <w:t>＜証券／投資銀行業務＞</w:t>
      </w:r>
    </w:p>
    <w:p w14:paraId="3F23C7B0" w14:textId="0296F78E" w:rsidR="000900DA" w:rsidRDefault="000900DA" w:rsidP="000900DA">
      <w:r>
        <w:rPr>
          <w:rFonts w:hint="eastAsia"/>
        </w:rPr>
        <w:t>証券会社は、証券業務において、投資判断に資する</w:t>
      </w:r>
      <w:r>
        <w:t>ESG</w:t>
      </w:r>
      <w:r w:rsidR="0079363A">
        <w:rPr>
          <w:rFonts w:hint="eastAsia"/>
        </w:rPr>
        <w:t>に関する</w:t>
      </w:r>
      <w:r>
        <w:t>情報を投資家へ適切に提供するための実力や情報提供業務を行うにあたって必要となるESGに関する知見等を備えるべく研鑽を積む。</w:t>
      </w:r>
    </w:p>
    <w:p w14:paraId="5AB08261" w14:textId="77777777" w:rsidR="000900DA" w:rsidRDefault="000900DA" w:rsidP="000900DA"/>
    <w:p w14:paraId="40869C1B" w14:textId="5C71D6C8" w:rsidR="000900DA" w:rsidRPr="00C94342" w:rsidRDefault="000900DA" w:rsidP="000900DA">
      <w:pPr>
        <w:rPr>
          <w:rFonts w:asciiTheme="majorEastAsia" w:eastAsiaTheme="majorEastAsia" w:hAnsiTheme="majorEastAsia"/>
        </w:rPr>
      </w:pPr>
      <w:r w:rsidRPr="00C94342">
        <w:rPr>
          <w:rFonts w:asciiTheme="majorEastAsia" w:eastAsiaTheme="majorEastAsia" w:hAnsiTheme="majorEastAsia"/>
        </w:rPr>
        <w:t>(4)取引先企業の事業に関する深い理解とこれに基づく高質な対話【原則５】【原則６】</w:t>
      </w:r>
    </w:p>
    <w:p w14:paraId="071F7B9F" w14:textId="51BC76DB" w:rsidR="000900DA" w:rsidRDefault="000900DA" w:rsidP="000900DA">
      <w:r>
        <w:rPr>
          <w:rFonts w:hint="eastAsia"/>
        </w:rPr>
        <w:t>銀行・保険・資産運用会社等は、投資先企業の持続的成長に向けてスチュワードシップ責任を適切に果たすため、当該企業の状況を的確に把握する。また、投資先企業との建設的な「目的を持った対話」を通じて、投資先企業と認識の共有を図るとともに、問題の改善に努めることが必要である。</w:t>
      </w:r>
      <w:r w:rsidR="00190C5D">
        <w:rPr>
          <w:rFonts w:hint="eastAsia"/>
        </w:rPr>
        <w:t>さらに</w:t>
      </w:r>
      <w:r>
        <w:rPr>
          <w:rFonts w:hint="eastAsia"/>
        </w:rPr>
        <w:t>、議決権の行使と行使結果の公表について明確な方針を持つとともに、議決権の行使が単なる形式的な判断に陥ることなく、投資先企業の持続的成長に資することを考慮して適切に判断を行う。</w:t>
      </w:r>
    </w:p>
    <w:p w14:paraId="5DD644FF" w14:textId="77777777" w:rsidR="000900DA" w:rsidRDefault="000900DA" w:rsidP="000900DA"/>
    <w:p w14:paraId="0021DA5C" w14:textId="77777777" w:rsidR="000900DA" w:rsidRPr="00C94342" w:rsidRDefault="000900DA" w:rsidP="000900DA">
      <w:pPr>
        <w:rPr>
          <w:rFonts w:asciiTheme="majorEastAsia" w:eastAsiaTheme="majorEastAsia" w:hAnsiTheme="majorEastAsia"/>
        </w:rPr>
      </w:pPr>
      <w:r w:rsidRPr="00C94342">
        <w:rPr>
          <w:rFonts w:asciiTheme="majorEastAsia" w:eastAsiaTheme="majorEastAsia" w:hAnsiTheme="majorEastAsia" w:hint="eastAsia"/>
        </w:rPr>
        <w:t>（</w:t>
      </w:r>
      <w:r w:rsidRPr="00C94342">
        <w:rPr>
          <w:rFonts w:asciiTheme="majorEastAsia" w:eastAsiaTheme="majorEastAsia" w:hAnsiTheme="majorEastAsia"/>
        </w:rPr>
        <w:t>5）情報発信【原則７】</w:t>
      </w:r>
    </w:p>
    <w:p w14:paraId="2DC2A83B" w14:textId="77777777" w:rsidR="000900DA" w:rsidRDefault="000900DA" w:rsidP="000900DA">
      <w:r>
        <w:rPr>
          <w:rFonts w:hint="eastAsia"/>
        </w:rPr>
        <w:t>＜運用業務＞</w:t>
      </w:r>
    </w:p>
    <w:p w14:paraId="1FBCAABE" w14:textId="46287FCF" w:rsidR="000900DA" w:rsidRDefault="000900DA" w:rsidP="000900DA">
      <w:r>
        <w:rPr>
          <w:rFonts w:hint="eastAsia"/>
        </w:rPr>
        <w:t>銀行・保険・資産運用会社等は、スチュワードシップ責任を果たすための明確な方針を策定し、これを公表することならびにスチュワードシップ責任を果たす上で管理すべき利益相反について、明確な方針を策定し、これを公表する。</w:t>
      </w:r>
    </w:p>
    <w:p w14:paraId="160119AD" w14:textId="77777777" w:rsidR="001460F5" w:rsidRDefault="001460F5" w:rsidP="000900DA"/>
    <w:p w14:paraId="23EEEB94" w14:textId="1ABBF048" w:rsidR="000900DA" w:rsidRDefault="00205EDD" w:rsidP="000900DA">
      <w:r>
        <w:rPr>
          <w:rFonts w:hint="eastAsia"/>
        </w:rPr>
        <w:t>また、</w:t>
      </w:r>
      <w:r w:rsidR="000900DA">
        <w:rPr>
          <w:rFonts w:hint="eastAsia"/>
        </w:rPr>
        <w:t>銀行・保険・資産運用会社等は、議決権行使を含むエンゲージメント活動やスチュワードシップ責任をどのように果たしているのかについて、原則として、顧客・受益者に対して定期的に報告を行う。</w:t>
      </w:r>
    </w:p>
    <w:p w14:paraId="1FD05B38" w14:textId="77777777" w:rsidR="000900DA" w:rsidRDefault="000900DA" w:rsidP="000900DA"/>
    <w:p w14:paraId="17482DA4" w14:textId="77777777" w:rsidR="000900DA" w:rsidRDefault="000900DA" w:rsidP="000900DA">
      <w:r>
        <w:rPr>
          <w:rFonts w:hint="eastAsia"/>
        </w:rPr>
        <w:t>＜証券／投資銀行業務＞</w:t>
      </w:r>
      <w:r>
        <w:t xml:space="preserve"> </w:t>
      </w:r>
    </w:p>
    <w:p w14:paraId="75990177" w14:textId="77777777" w:rsidR="00495BB2" w:rsidRDefault="000900DA" w:rsidP="00C94342">
      <w:r>
        <w:rPr>
          <w:rFonts w:hint="eastAsia"/>
        </w:rPr>
        <w:t>証券会社は、持続可能な社会の形成に貢献する製品・サービスを提供する事業会社に関する的確なリサーチ情報を適切なタイミングで発信する。また、発行体と投資家が行うエンゲージメント活動の内容について情報発信を行うことで、インベストメントチェーンが潤滑に回ることを支える。</w:t>
      </w:r>
    </w:p>
    <w:p w14:paraId="7EABA37C" w14:textId="2CACA093" w:rsidR="00ED7A3A" w:rsidRDefault="00ED7A3A" w:rsidP="00495BB2">
      <w:pPr>
        <w:jc w:val="right"/>
      </w:pPr>
      <w:r>
        <w:rPr>
          <w:rFonts w:hint="eastAsia"/>
        </w:rPr>
        <w:t>以上</w:t>
      </w:r>
    </w:p>
    <w:sectPr w:rsidR="00ED7A3A" w:rsidSect="00495BB2">
      <w:footerReference w:type="default" r:id="rId10"/>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D8E7" w14:textId="77777777" w:rsidR="00DE1B86" w:rsidRDefault="00DE1B86" w:rsidP="003B75E5">
      <w:r>
        <w:separator/>
      </w:r>
    </w:p>
  </w:endnote>
  <w:endnote w:type="continuationSeparator" w:id="0">
    <w:p w14:paraId="14CFE6BF" w14:textId="77777777" w:rsidR="00DE1B86" w:rsidRDefault="00DE1B86" w:rsidP="003B75E5">
      <w:r>
        <w:continuationSeparator/>
      </w:r>
    </w:p>
  </w:endnote>
  <w:endnote w:type="continuationNotice" w:id="1">
    <w:p w14:paraId="0A15A812" w14:textId="77777777" w:rsidR="00DE1B86" w:rsidRDefault="00DE1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176518"/>
      <w:docPartObj>
        <w:docPartGallery w:val="Page Numbers (Bottom of Page)"/>
        <w:docPartUnique/>
      </w:docPartObj>
    </w:sdtPr>
    <w:sdtEndPr/>
    <w:sdtContent>
      <w:p w14:paraId="482CE8EC" w14:textId="7F482F7F" w:rsidR="00205EDD" w:rsidRDefault="00205EDD" w:rsidP="00C94342">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55D4" w14:textId="77777777" w:rsidR="00DE1B86" w:rsidRDefault="00DE1B86" w:rsidP="003B75E5">
      <w:r>
        <w:separator/>
      </w:r>
    </w:p>
  </w:footnote>
  <w:footnote w:type="continuationSeparator" w:id="0">
    <w:p w14:paraId="4A21C830" w14:textId="77777777" w:rsidR="00DE1B86" w:rsidRDefault="00DE1B86" w:rsidP="003B75E5">
      <w:r>
        <w:continuationSeparator/>
      </w:r>
    </w:p>
  </w:footnote>
  <w:footnote w:type="continuationNotice" w:id="1">
    <w:p w14:paraId="46E22278" w14:textId="77777777" w:rsidR="00DE1B86" w:rsidRDefault="00DE1B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DA"/>
    <w:rsid w:val="00025A2D"/>
    <w:rsid w:val="000900DA"/>
    <w:rsid w:val="000C5440"/>
    <w:rsid w:val="000D6D39"/>
    <w:rsid w:val="000F6CD3"/>
    <w:rsid w:val="00100A2F"/>
    <w:rsid w:val="00124927"/>
    <w:rsid w:val="001377C1"/>
    <w:rsid w:val="00141A10"/>
    <w:rsid w:val="001460F5"/>
    <w:rsid w:val="00190C5D"/>
    <w:rsid w:val="00205EDD"/>
    <w:rsid w:val="00240719"/>
    <w:rsid w:val="00247D7D"/>
    <w:rsid w:val="00271024"/>
    <w:rsid w:val="002755C5"/>
    <w:rsid w:val="002A784C"/>
    <w:rsid w:val="002B55AA"/>
    <w:rsid w:val="002C2FFD"/>
    <w:rsid w:val="00311D1B"/>
    <w:rsid w:val="00325ABE"/>
    <w:rsid w:val="00362CA7"/>
    <w:rsid w:val="003A2891"/>
    <w:rsid w:val="003B75E5"/>
    <w:rsid w:val="003C0CCB"/>
    <w:rsid w:val="003C501F"/>
    <w:rsid w:val="003F06FC"/>
    <w:rsid w:val="00417F61"/>
    <w:rsid w:val="004437D7"/>
    <w:rsid w:val="00445EB5"/>
    <w:rsid w:val="004472D0"/>
    <w:rsid w:val="00455287"/>
    <w:rsid w:val="00466F94"/>
    <w:rsid w:val="00495BB2"/>
    <w:rsid w:val="004C2D47"/>
    <w:rsid w:val="004F763D"/>
    <w:rsid w:val="00535615"/>
    <w:rsid w:val="00546FE7"/>
    <w:rsid w:val="00591BAE"/>
    <w:rsid w:val="0059661C"/>
    <w:rsid w:val="005A4643"/>
    <w:rsid w:val="005D54E8"/>
    <w:rsid w:val="005E5053"/>
    <w:rsid w:val="005E7F87"/>
    <w:rsid w:val="006532FC"/>
    <w:rsid w:val="006948A4"/>
    <w:rsid w:val="006F42C7"/>
    <w:rsid w:val="007022D7"/>
    <w:rsid w:val="007171BC"/>
    <w:rsid w:val="007222DA"/>
    <w:rsid w:val="00743299"/>
    <w:rsid w:val="00752991"/>
    <w:rsid w:val="00757174"/>
    <w:rsid w:val="00776A0C"/>
    <w:rsid w:val="00784500"/>
    <w:rsid w:val="0079363A"/>
    <w:rsid w:val="007B60E5"/>
    <w:rsid w:val="00861566"/>
    <w:rsid w:val="008A6FAB"/>
    <w:rsid w:val="008B76FE"/>
    <w:rsid w:val="008D05DE"/>
    <w:rsid w:val="009067C4"/>
    <w:rsid w:val="00926A18"/>
    <w:rsid w:val="009331F4"/>
    <w:rsid w:val="00941814"/>
    <w:rsid w:val="00967644"/>
    <w:rsid w:val="0098375B"/>
    <w:rsid w:val="0098750E"/>
    <w:rsid w:val="009926A8"/>
    <w:rsid w:val="00A01D2E"/>
    <w:rsid w:val="00A37AE2"/>
    <w:rsid w:val="00A44B02"/>
    <w:rsid w:val="00A621D5"/>
    <w:rsid w:val="00A95BE2"/>
    <w:rsid w:val="00AD6A19"/>
    <w:rsid w:val="00AF52F0"/>
    <w:rsid w:val="00B35135"/>
    <w:rsid w:val="00B6435A"/>
    <w:rsid w:val="00B86177"/>
    <w:rsid w:val="00BA7C2D"/>
    <w:rsid w:val="00BF6D62"/>
    <w:rsid w:val="00C0466F"/>
    <w:rsid w:val="00C560A7"/>
    <w:rsid w:val="00C5739B"/>
    <w:rsid w:val="00C9298E"/>
    <w:rsid w:val="00C94342"/>
    <w:rsid w:val="00CC3058"/>
    <w:rsid w:val="00CD0733"/>
    <w:rsid w:val="00DC1D68"/>
    <w:rsid w:val="00DC6A7B"/>
    <w:rsid w:val="00DE1B86"/>
    <w:rsid w:val="00E10E33"/>
    <w:rsid w:val="00E163F2"/>
    <w:rsid w:val="00E20F93"/>
    <w:rsid w:val="00E33674"/>
    <w:rsid w:val="00E46EC6"/>
    <w:rsid w:val="00E86B92"/>
    <w:rsid w:val="00EB041A"/>
    <w:rsid w:val="00EB6FC5"/>
    <w:rsid w:val="00ED5146"/>
    <w:rsid w:val="00ED7A3A"/>
    <w:rsid w:val="00F14592"/>
    <w:rsid w:val="00F33DD5"/>
    <w:rsid w:val="00F80B99"/>
    <w:rsid w:val="00FC06ED"/>
    <w:rsid w:val="00FC5035"/>
    <w:rsid w:val="00FD0D13"/>
    <w:rsid w:val="00FE2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B3EDC"/>
  <w15:chartTrackingRefBased/>
  <w15:docId w15:val="{36201CA7-A5D5-4926-B5D7-720ECF90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41A1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41A10"/>
    <w:rPr>
      <w:rFonts w:asciiTheme="majorHAnsi" w:eastAsiaTheme="majorEastAsia" w:hAnsiTheme="majorHAnsi" w:cstheme="majorBidi"/>
      <w:sz w:val="32"/>
      <w:szCs w:val="32"/>
    </w:rPr>
  </w:style>
  <w:style w:type="paragraph" w:styleId="a5">
    <w:name w:val="Revision"/>
    <w:hidden/>
    <w:uiPriority w:val="99"/>
    <w:semiHidden/>
    <w:rsid w:val="002B55AA"/>
  </w:style>
  <w:style w:type="paragraph" w:styleId="a6">
    <w:name w:val="Balloon Text"/>
    <w:basedOn w:val="a"/>
    <w:link w:val="a7"/>
    <w:uiPriority w:val="99"/>
    <w:semiHidden/>
    <w:unhideWhenUsed/>
    <w:rsid w:val="003B75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75E5"/>
    <w:rPr>
      <w:rFonts w:asciiTheme="majorHAnsi" w:eastAsiaTheme="majorEastAsia" w:hAnsiTheme="majorHAnsi" w:cstheme="majorBidi"/>
      <w:sz w:val="18"/>
      <w:szCs w:val="18"/>
    </w:rPr>
  </w:style>
  <w:style w:type="paragraph" w:styleId="a8">
    <w:name w:val="header"/>
    <w:basedOn w:val="a"/>
    <w:link w:val="a9"/>
    <w:uiPriority w:val="99"/>
    <w:unhideWhenUsed/>
    <w:rsid w:val="003B75E5"/>
    <w:pPr>
      <w:tabs>
        <w:tab w:val="center" w:pos="4252"/>
        <w:tab w:val="right" w:pos="8504"/>
      </w:tabs>
      <w:snapToGrid w:val="0"/>
    </w:pPr>
  </w:style>
  <w:style w:type="character" w:customStyle="1" w:styleId="a9">
    <w:name w:val="ヘッダー (文字)"/>
    <w:basedOn w:val="a0"/>
    <w:link w:val="a8"/>
    <w:uiPriority w:val="99"/>
    <w:rsid w:val="003B75E5"/>
  </w:style>
  <w:style w:type="paragraph" w:styleId="aa">
    <w:name w:val="footer"/>
    <w:basedOn w:val="a"/>
    <w:link w:val="ab"/>
    <w:uiPriority w:val="99"/>
    <w:unhideWhenUsed/>
    <w:rsid w:val="003B75E5"/>
    <w:pPr>
      <w:tabs>
        <w:tab w:val="center" w:pos="4252"/>
        <w:tab w:val="right" w:pos="8504"/>
      </w:tabs>
      <w:snapToGrid w:val="0"/>
    </w:pPr>
  </w:style>
  <w:style w:type="character" w:customStyle="1" w:styleId="ab">
    <w:name w:val="フッター (文字)"/>
    <w:basedOn w:val="a0"/>
    <w:link w:val="aa"/>
    <w:uiPriority w:val="99"/>
    <w:rsid w:val="003B75E5"/>
  </w:style>
  <w:style w:type="character" w:styleId="ac">
    <w:name w:val="annotation reference"/>
    <w:basedOn w:val="a0"/>
    <w:uiPriority w:val="99"/>
    <w:semiHidden/>
    <w:unhideWhenUsed/>
    <w:rsid w:val="00F33DD5"/>
    <w:rPr>
      <w:sz w:val="18"/>
      <w:szCs w:val="18"/>
    </w:rPr>
  </w:style>
  <w:style w:type="paragraph" w:styleId="ad">
    <w:name w:val="annotation text"/>
    <w:basedOn w:val="a"/>
    <w:link w:val="ae"/>
    <w:uiPriority w:val="99"/>
    <w:unhideWhenUsed/>
    <w:rsid w:val="00F33DD5"/>
    <w:pPr>
      <w:jc w:val="left"/>
    </w:pPr>
  </w:style>
  <w:style w:type="character" w:customStyle="1" w:styleId="ae">
    <w:name w:val="コメント文字列 (文字)"/>
    <w:basedOn w:val="a0"/>
    <w:link w:val="ad"/>
    <w:uiPriority w:val="99"/>
    <w:rsid w:val="00F33DD5"/>
  </w:style>
  <w:style w:type="paragraph" w:styleId="af">
    <w:name w:val="annotation subject"/>
    <w:basedOn w:val="ad"/>
    <w:next w:val="ad"/>
    <w:link w:val="af0"/>
    <w:uiPriority w:val="99"/>
    <w:semiHidden/>
    <w:unhideWhenUsed/>
    <w:rsid w:val="00F33DD5"/>
    <w:rPr>
      <w:b/>
      <w:bCs/>
    </w:rPr>
  </w:style>
  <w:style w:type="character" w:customStyle="1" w:styleId="af0">
    <w:name w:val="コメント内容 (文字)"/>
    <w:basedOn w:val="ae"/>
    <w:link w:val="af"/>
    <w:uiPriority w:val="99"/>
    <w:semiHidden/>
    <w:rsid w:val="00F33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C771FB24CA11459FEB3CDA3C1FC52E" ma:contentTypeVersion="16" ma:contentTypeDescription="新しいドキュメントを作成します。" ma:contentTypeScope="" ma:versionID="19b93dfd2845261a65698c4c173d4e68">
  <xsd:schema xmlns:xsd="http://www.w3.org/2001/XMLSchema" xmlns:xs="http://www.w3.org/2001/XMLSchema" xmlns:p="http://schemas.microsoft.com/office/2006/metadata/properties" xmlns:ns2="bfc7294f-c9d8-427e-b500-b72da1a450d6" xmlns:ns3="30af902c-f4b3-4088-8001-b1fa6192d8fe" targetNamespace="http://schemas.microsoft.com/office/2006/metadata/properties" ma:root="true" ma:fieldsID="1eb11ec15aa5e88d21b9e711bb95545b" ns2:_="" ns3:_="">
    <xsd:import namespace="bfc7294f-c9d8-427e-b500-b72da1a450d6"/>
    <xsd:import namespace="30af902c-f4b3-4088-8001-b1fa6192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7294f-c9d8-427e-b500-b72da1a45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9c91fe-8da4-40c1-8cf3-b5b77045b0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902c-f4b3-4088-8001-b1fa6192d8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4d11c29-52a7-4d15-bc64-e1a1af768b5a}" ma:internalName="TaxCatchAll" ma:showField="CatchAllData" ma:web="30af902c-f4b3-4088-8001-b1fa6192d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7294f-c9d8-427e-b500-b72da1a450d6">
      <Terms xmlns="http://schemas.microsoft.com/office/infopath/2007/PartnerControls"/>
    </lcf76f155ced4ddcb4097134ff3c332f>
    <TaxCatchAll xmlns="30af902c-f4b3-4088-8001-b1fa6192d8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ED35C-70B7-4664-A913-03C137D0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7294f-c9d8-427e-b500-b72da1a450d6"/>
    <ds:schemaRef ds:uri="30af902c-f4b3-4088-8001-b1fa6192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10092-AACB-44A1-B111-23F1D23F9457}">
  <ds:schemaRefs>
    <ds:schemaRef ds:uri="http://schemas.microsoft.com/office/2006/metadata/properties"/>
    <ds:schemaRef ds:uri="http://schemas.microsoft.com/office/infopath/2007/PartnerControls"/>
    <ds:schemaRef ds:uri="bfc7294f-c9d8-427e-b500-b72da1a450d6"/>
    <ds:schemaRef ds:uri="30af902c-f4b3-4088-8001-b1fa6192d8fe"/>
  </ds:schemaRefs>
</ds:datastoreItem>
</file>

<file path=customXml/itemProps3.xml><?xml version="1.0" encoding="utf-8"?>
<ds:datastoreItem xmlns:ds="http://schemas.openxmlformats.org/officeDocument/2006/customXml" ds:itemID="{3E718BF2-E2A1-4CD2-9228-E3B1CC52E51C}">
  <ds:schemaRefs>
    <ds:schemaRef ds:uri="http://schemas.openxmlformats.org/officeDocument/2006/bibliography"/>
  </ds:schemaRefs>
</ds:datastoreItem>
</file>

<file path=customXml/itemProps4.xml><?xml version="1.0" encoding="utf-8"?>
<ds:datastoreItem xmlns:ds="http://schemas.openxmlformats.org/officeDocument/2006/customXml" ds:itemID="{BEBB0A50-87BB-4270-BA48-BB96A6573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dc:creator>
  <cp:keywords/>
  <dc:description/>
  <cp:lastModifiedBy>津田</cp:lastModifiedBy>
  <cp:revision>7</cp:revision>
  <dcterms:created xsi:type="dcterms:W3CDTF">2022-12-14T03:36:00Z</dcterms:created>
  <dcterms:modified xsi:type="dcterms:W3CDTF">2022-12-15T00:47:00Z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0x01010021C771FB24CA11459FEB3CDA3C1FC52E</vt:lpwstr>
  </property>
  <property fmtid="{D5CDD505-2E9C-101B-9397-08002B2CF9AE}" pid="3" name="MediaServiceImageTags">
    <vt:lpwstr/>
  </property>
</Properties>
</file>